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F3546EE" w14:textId="77777777" w:rsidR="00BF33E9" w:rsidRDefault="00BF33E9" w:rsidP="0023338F">
      <w:pPr>
        <w:pStyle w:val="FreeForm"/>
        <w:spacing w:after="240" w:line="398" w:lineRule="atLeast"/>
        <w:jc w:val="center"/>
        <w:rPr>
          <w:rFonts w:ascii="Times" w:hAnsi="Times"/>
          <w:b/>
          <w:bCs/>
          <w:sz w:val="36"/>
          <w:szCs w:val="36"/>
        </w:rPr>
      </w:pPr>
      <w:r w:rsidRPr="00BF33E9">
        <w:rPr>
          <w:rFonts w:ascii="Times" w:hAnsi="Times"/>
          <w:b/>
          <w:bCs/>
          <w:noProof/>
          <w:sz w:val="36"/>
          <w:szCs w:val="36"/>
        </w:rPr>
        <w:drawing>
          <wp:inline distT="0" distB="0" distL="0" distR="0" wp14:anchorId="699665EB" wp14:editId="1503B297">
            <wp:extent cx="1476000" cy="1476000"/>
            <wp:effectExtent l="0" t="0" r="0" b="0"/>
            <wp:docPr id="4" name="Picture 4"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01338" cy="1501338"/>
                    </a:xfrm>
                    <a:prstGeom prst="rect">
                      <a:avLst/>
                    </a:prstGeom>
                  </pic:spPr>
                </pic:pic>
              </a:graphicData>
            </a:graphic>
          </wp:inline>
        </w:drawing>
      </w:r>
    </w:p>
    <w:p w14:paraId="1F67120A" w14:textId="1FEFD7C4" w:rsidR="00DF4DB0" w:rsidRDefault="00990C43" w:rsidP="0023338F">
      <w:pPr>
        <w:pStyle w:val="FreeForm"/>
        <w:spacing w:after="240" w:line="398" w:lineRule="atLeast"/>
        <w:jc w:val="center"/>
        <w:rPr>
          <w:rFonts w:ascii="Times" w:eastAsia="Times" w:hAnsi="Times" w:cs="Times"/>
          <w:b/>
          <w:bCs/>
          <w:sz w:val="36"/>
          <w:szCs w:val="36"/>
        </w:rPr>
      </w:pPr>
      <w:r>
        <w:rPr>
          <w:rFonts w:ascii="Times" w:hAnsi="Times"/>
          <w:b/>
          <w:bCs/>
          <w:sz w:val="36"/>
          <w:szCs w:val="36"/>
        </w:rPr>
        <w:t>Safe Magnesium</w:t>
      </w:r>
    </w:p>
    <w:p w14:paraId="3AA939D5" w14:textId="03A9AEA1" w:rsidR="00DF4DB0" w:rsidRDefault="00990C43" w:rsidP="0023338F">
      <w:pPr>
        <w:pStyle w:val="FreeForm"/>
        <w:spacing w:after="240" w:line="398" w:lineRule="atLeast"/>
        <w:jc w:val="center"/>
        <w:rPr>
          <w:rFonts w:ascii="Times" w:eastAsia="Times" w:hAnsi="Times" w:cs="Times"/>
          <w:b/>
          <w:bCs/>
          <w:sz w:val="28"/>
          <w:szCs w:val="28"/>
        </w:rPr>
      </w:pPr>
      <w:r>
        <w:rPr>
          <w:rFonts w:ascii="Times" w:hAnsi="Times"/>
          <w:b/>
          <w:bCs/>
          <w:sz w:val="28"/>
          <w:szCs w:val="28"/>
        </w:rPr>
        <w:t xml:space="preserve">The </w:t>
      </w:r>
      <w:r w:rsidR="00C3621A">
        <w:rPr>
          <w:rFonts w:ascii="Times" w:hAnsi="Times"/>
          <w:b/>
          <w:bCs/>
          <w:sz w:val="28"/>
          <w:szCs w:val="28"/>
        </w:rPr>
        <w:t>combustibility</w:t>
      </w:r>
      <w:r>
        <w:rPr>
          <w:rFonts w:ascii="Times" w:hAnsi="Times"/>
          <w:b/>
          <w:bCs/>
          <w:sz w:val="28"/>
          <w:szCs w:val="28"/>
        </w:rPr>
        <w:t xml:space="preserve"> of magnesium alloys</w:t>
      </w:r>
      <w:r>
        <w:rPr>
          <w:rFonts w:ascii="Arial Unicode MS" w:hAnsi="Arial Unicode MS"/>
          <w:sz w:val="28"/>
          <w:szCs w:val="28"/>
        </w:rPr>
        <w:br/>
      </w:r>
      <w:r w:rsidR="00E40C49">
        <w:rPr>
          <w:rFonts w:ascii="Times" w:eastAsia="Times" w:hAnsi="Times" w:cs="Times"/>
          <w:b/>
          <w:bCs/>
          <w:sz w:val="28"/>
          <w:szCs w:val="28"/>
        </w:rPr>
        <w:br/>
      </w:r>
      <w:r>
        <w:rPr>
          <w:rFonts w:ascii="Times" w:hAnsi="Times"/>
          <w:b/>
          <w:bCs/>
          <w:sz w:val="28"/>
          <w:szCs w:val="28"/>
        </w:rPr>
        <w:t>briefing from Galaxy Trade and Technology</w:t>
      </w:r>
    </w:p>
    <w:p w14:paraId="091C81CA" w14:textId="444C60A9" w:rsidR="00DF4DB0" w:rsidRDefault="00990C43" w:rsidP="0023338F">
      <w:pPr>
        <w:pStyle w:val="FreeForm"/>
        <w:spacing w:after="240" w:line="260" w:lineRule="atLeast"/>
        <w:rPr>
          <w:rFonts w:ascii="Times" w:eastAsia="Times" w:hAnsi="Times" w:cs="Times"/>
          <w:sz w:val="28"/>
          <w:szCs w:val="28"/>
        </w:rPr>
      </w:pPr>
      <w:r>
        <w:rPr>
          <w:rFonts w:ascii="Times" w:hAnsi="Times"/>
          <w:sz w:val="28"/>
          <w:szCs w:val="28"/>
        </w:rPr>
        <w:t>__________________________________________________________________</w:t>
      </w:r>
      <w:r w:rsidR="00BF33E9">
        <w:rPr>
          <w:rFonts w:ascii="Times" w:hAnsi="Times"/>
          <w:sz w:val="28"/>
          <w:szCs w:val="28"/>
        </w:rPr>
        <w:t>________</w:t>
      </w:r>
    </w:p>
    <w:p w14:paraId="51BAFAA9" w14:textId="1BF8E3B0" w:rsidR="005C070C" w:rsidRDefault="005C070C" w:rsidP="0023338F">
      <w:pPr>
        <w:pStyle w:val="FreeForm"/>
        <w:spacing w:after="240" w:line="260" w:lineRule="atLeast"/>
        <w:rPr>
          <w:rFonts w:ascii="Times" w:hAnsi="Times"/>
          <w:sz w:val="28"/>
          <w:szCs w:val="28"/>
        </w:rPr>
      </w:pPr>
      <w:r>
        <w:rPr>
          <w:rFonts w:ascii="Times" w:hAnsi="Times"/>
          <w:sz w:val="28"/>
          <w:szCs w:val="28"/>
        </w:rPr>
        <w:t>In correct use</w:t>
      </w:r>
      <w:r w:rsidR="00941134">
        <w:rPr>
          <w:rFonts w:ascii="Times" w:hAnsi="Times"/>
          <w:sz w:val="28"/>
          <w:szCs w:val="28"/>
        </w:rPr>
        <w:t xml:space="preserve"> and correctly specified</w:t>
      </w:r>
      <w:r>
        <w:rPr>
          <w:rFonts w:ascii="Times" w:hAnsi="Times"/>
          <w:sz w:val="28"/>
          <w:szCs w:val="28"/>
        </w:rPr>
        <w:t>, m</w:t>
      </w:r>
      <w:r w:rsidR="00990C43">
        <w:rPr>
          <w:rFonts w:ascii="Times" w:hAnsi="Times"/>
          <w:sz w:val="28"/>
          <w:szCs w:val="28"/>
        </w:rPr>
        <w:t>agnesium alloys are safe</w:t>
      </w:r>
      <w:r>
        <w:rPr>
          <w:rFonts w:ascii="Times" w:hAnsi="Times"/>
          <w:sz w:val="28"/>
          <w:szCs w:val="28"/>
        </w:rPr>
        <w:t xml:space="preserve"> and do not create a fire hazard.</w:t>
      </w:r>
      <w:r w:rsidR="0023338F" w:rsidRPr="0023338F">
        <w:rPr>
          <w:rFonts w:ascii="Times" w:hAnsi="Times"/>
          <w:sz w:val="28"/>
          <w:szCs w:val="28"/>
        </w:rPr>
        <w:t xml:space="preserve"> </w:t>
      </w:r>
    </w:p>
    <w:p w14:paraId="25ABDAF5" w14:textId="4A9B626D" w:rsidR="00DF4DB0" w:rsidRDefault="00E40C49" w:rsidP="0023338F">
      <w:pPr>
        <w:pStyle w:val="FreeForm"/>
        <w:spacing w:after="240" w:line="260" w:lineRule="atLeast"/>
        <w:rPr>
          <w:rFonts w:ascii="Times" w:eastAsia="Times" w:hAnsi="Times" w:cs="Times"/>
          <w:sz w:val="28"/>
          <w:szCs w:val="28"/>
        </w:rPr>
      </w:pPr>
      <w:r>
        <w:rPr>
          <w:rFonts w:ascii="Times" w:hAnsi="Times"/>
          <w:sz w:val="28"/>
          <w:szCs w:val="28"/>
        </w:rPr>
        <w:t>With the appropriate alloy combination, magnesium</w:t>
      </w:r>
      <w:r w:rsidR="00990C43">
        <w:rPr>
          <w:rFonts w:ascii="Times" w:hAnsi="Times"/>
          <w:sz w:val="28"/>
          <w:szCs w:val="28"/>
        </w:rPr>
        <w:t xml:space="preserve"> do</w:t>
      </w:r>
      <w:r>
        <w:rPr>
          <w:rFonts w:ascii="Times" w:hAnsi="Times"/>
          <w:sz w:val="28"/>
          <w:szCs w:val="28"/>
        </w:rPr>
        <w:t>es</w:t>
      </w:r>
      <w:r w:rsidR="00990C43">
        <w:rPr>
          <w:rFonts w:ascii="Times" w:hAnsi="Times"/>
          <w:sz w:val="28"/>
          <w:szCs w:val="28"/>
        </w:rPr>
        <w:t xml:space="preserve"> not ignite or explode. </w:t>
      </w:r>
      <w:r>
        <w:rPr>
          <w:rFonts w:ascii="Times" w:hAnsi="Times"/>
          <w:sz w:val="28"/>
          <w:szCs w:val="28"/>
        </w:rPr>
        <w:t xml:space="preserve">The specification of suitable magnesium alloys for </w:t>
      </w:r>
      <w:r w:rsidR="005C070C">
        <w:rPr>
          <w:rFonts w:ascii="Times" w:hAnsi="Times"/>
          <w:sz w:val="28"/>
          <w:szCs w:val="28"/>
        </w:rPr>
        <w:t>defined</w:t>
      </w:r>
      <w:r>
        <w:rPr>
          <w:rFonts w:ascii="Times" w:hAnsi="Times"/>
          <w:sz w:val="28"/>
          <w:szCs w:val="28"/>
        </w:rPr>
        <w:t xml:space="preserve"> industrial uses is a specialty of Galaxy Trade and Technology.</w:t>
      </w:r>
    </w:p>
    <w:p w14:paraId="4CFBA1CD" w14:textId="16D30BB3" w:rsidR="00DF4DB0" w:rsidRDefault="00990C43" w:rsidP="0023338F">
      <w:pPr>
        <w:pStyle w:val="FreeForm"/>
        <w:spacing w:after="240" w:line="260" w:lineRule="atLeast"/>
        <w:rPr>
          <w:rFonts w:ascii="Times" w:eastAsia="Times" w:hAnsi="Times" w:cs="Times"/>
          <w:sz w:val="28"/>
          <w:szCs w:val="28"/>
        </w:rPr>
      </w:pPr>
      <w:r>
        <w:rPr>
          <w:rFonts w:ascii="Times" w:hAnsi="Times"/>
          <w:sz w:val="28"/>
          <w:szCs w:val="28"/>
        </w:rPr>
        <w:t>The common misconception about the dangers of magnesium is due to confusion of magnesium alloys with pure magnesium</w:t>
      </w:r>
      <w:r w:rsidR="00E40C49">
        <w:rPr>
          <w:rFonts w:ascii="Times" w:hAnsi="Times"/>
          <w:sz w:val="28"/>
          <w:szCs w:val="28"/>
        </w:rPr>
        <w:t>. Pure magnesium,</w:t>
      </w:r>
      <w:r w:rsidR="00E40C49" w:rsidRPr="00E40C49">
        <w:rPr>
          <w:rFonts w:ascii="Times" w:hAnsi="Times"/>
          <w:sz w:val="28"/>
          <w:szCs w:val="28"/>
        </w:rPr>
        <w:t xml:space="preserve"> </w:t>
      </w:r>
      <w:r w:rsidR="00E40C49">
        <w:rPr>
          <w:rFonts w:ascii="Times" w:hAnsi="Times"/>
          <w:sz w:val="28"/>
          <w:szCs w:val="28"/>
        </w:rPr>
        <w:t xml:space="preserve">in the form of powder or ribbons used for photographic and pyrotechnic purposes, as well as </w:t>
      </w:r>
      <w:r w:rsidR="005C070C">
        <w:rPr>
          <w:rFonts w:ascii="Times" w:hAnsi="Times"/>
          <w:sz w:val="28"/>
          <w:szCs w:val="28"/>
        </w:rPr>
        <w:t xml:space="preserve">in </w:t>
      </w:r>
      <w:r w:rsidR="00E40C49">
        <w:rPr>
          <w:rFonts w:ascii="Times" w:hAnsi="Times"/>
          <w:sz w:val="28"/>
          <w:szCs w:val="28"/>
        </w:rPr>
        <w:t xml:space="preserve">high school chemistry experiments </w:t>
      </w:r>
      <w:r w:rsidR="005C070C">
        <w:rPr>
          <w:rFonts w:ascii="Times" w:hAnsi="Times"/>
          <w:sz w:val="28"/>
          <w:szCs w:val="28"/>
        </w:rPr>
        <w:t xml:space="preserve">that every student remembers, </w:t>
      </w:r>
      <w:r w:rsidR="00E40C49">
        <w:rPr>
          <w:rFonts w:ascii="Times" w:hAnsi="Times"/>
          <w:sz w:val="28"/>
          <w:szCs w:val="28"/>
        </w:rPr>
        <w:t>may ignite if exposed to flame</w:t>
      </w:r>
      <w:r>
        <w:rPr>
          <w:rFonts w:ascii="Times" w:hAnsi="Times"/>
          <w:sz w:val="28"/>
          <w:szCs w:val="28"/>
        </w:rPr>
        <w:t xml:space="preserve">. </w:t>
      </w:r>
    </w:p>
    <w:p w14:paraId="6C7B032C" w14:textId="77777777" w:rsidR="00DF4DB0" w:rsidRDefault="00990C43" w:rsidP="0023338F">
      <w:pPr>
        <w:pStyle w:val="FreeForm"/>
        <w:spacing w:after="240" w:line="240" w:lineRule="atLeast"/>
        <w:rPr>
          <w:rFonts w:ascii="Times" w:eastAsia="Times" w:hAnsi="Times" w:cs="Times"/>
          <w:b/>
          <w:bCs/>
          <w:sz w:val="28"/>
          <w:szCs w:val="28"/>
        </w:rPr>
      </w:pPr>
      <w:r>
        <w:rPr>
          <w:rFonts w:ascii="Times" w:hAnsi="Times"/>
          <w:b/>
          <w:bCs/>
          <w:sz w:val="28"/>
          <w:szCs w:val="28"/>
        </w:rPr>
        <w:t xml:space="preserve">Here are some key facts and information about magnesium safety: </w:t>
      </w:r>
    </w:p>
    <w:p w14:paraId="463596AF" w14:textId="77777777" w:rsidR="00DF4DB0" w:rsidRDefault="00990C43">
      <w:pPr>
        <w:pStyle w:val="FreeForm"/>
        <w:numPr>
          <w:ilvl w:val="0"/>
          <w:numId w:val="1"/>
        </w:numPr>
        <w:spacing w:after="213" w:line="260" w:lineRule="atLeast"/>
        <w:rPr>
          <w:rFonts w:ascii="Times" w:hAnsi="Times"/>
          <w:sz w:val="28"/>
          <w:szCs w:val="28"/>
        </w:rPr>
      </w:pPr>
      <w:r>
        <w:rPr>
          <w:rFonts w:ascii="Times" w:hAnsi="Times"/>
          <w:sz w:val="28"/>
          <w:szCs w:val="28"/>
        </w:rPr>
        <w:t xml:space="preserve">Solid magnesium parts will not burn until heated above the melting point. This melting point is similar to aluminum, at 650 ̊C or 1202 ̊F. </w:t>
      </w:r>
    </w:p>
    <w:p w14:paraId="10E2A067" w14:textId="77777777" w:rsidR="00DF4DB0" w:rsidRDefault="00990C43">
      <w:pPr>
        <w:pStyle w:val="FreeForm"/>
        <w:numPr>
          <w:ilvl w:val="0"/>
          <w:numId w:val="1"/>
        </w:numPr>
        <w:spacing w:after="213" w:line="260" w:lineRule="atLeast"/>
        <w:rPr>
          <w:rFonts w:ascii="Times" w:hAnsi="Times"/>
          <w:sz w:val="28"/>
          <w:szCs w:val="28"/>
        </w:rPr>
      </w:pPr>
      <w:r>
        <w:rPr>
          <w:rFonts w:ascii="Times" w:hAnsi="Times"/>
          <w:sz w:val="28"/>
          <w:szCs w:val="28"/>
        </w:rPr>
        <w:t xml:space="preserve">If locally melted, the high thermal conductivity of magnesium will generally ensure rapid cooling and prevent a fire from spreading. </w:t>
      </w:r>
    </w:p>
    <w:p w14:paraId="61304750" w14:textId="4ABAEED0" w:rsidR="00DF4DB0" w:rsidRDefault="00990C43">
      <w:pPr>
        <w:pStyle w:val="FreeForm"/>
        <w:numPr>
          <w:ilvl w:val="0"/>
          <w:numId w:val="1"/>
        </w:numPr>
        <w:spacing w:after="213" w:line="260" w:lineRule="atLeast"/>
        <w:rPr>
          <w:rFonts w:ascii="Times" w:hAnsi="Times"/>
          <w:sz w:val="28"/>
          <w:szCs w:val="28"/>
        </w:rPr>
      </w:pPr>
      <w:r>
        <w:rPr>
          <w:rFonts w:ascii="Times" w:hAnsi="Times"/>
          <w:sz w:val="28"/>
          <w:szCs w:val="28"/>
        </w:rPr>
        <w:t xml:space="preserve">It is possible, with a welding torch, to burn a hole in a magnesium sheet as big as the cone of the welding flame without igniting the surrounding metal. Similarly, a welding torch </w:t>
      </w:r>
      <w:r w:rsidR="00E40C49">
        <w:rPr>
          <w:rFonts w:ascii="Times" w:hAnsi="Times"/>
          <w:sz w:val="28"/>
          <w:szCs w:val="28"/>
        </w:rPr>
        <w:t xml:space="preserve">can be placed </w:t>
      </w:r>
      <w:r>
        <w:rPr>
          <w:rFonts w:ascii="Times" w:hAnsi="Times"/>
          <w:sz w:val="28"/>
          <w:szCs w:val="28"/>
        </w:rPr>
        <w:t xml:space="preserve">on a full-size ingot and it will not ignite. </w:t>
      </w:r>
    </w:p>
    <w:p w14:paraId="142CB53C" w14:textId="244BBD99" w:rsidR="00DF4DB0" w:rsidRDefault="00990C43">
      <w:pPr>
        <w:pStyle w:val="FreeForm"/>
        <w:numPr>
          <w:ilvl w:val="0"/>
          <w:numId w:val="1"/>
        </w:numPr>
        <w:spacing w:after="213" w:line="260" w:lineRule="atLeast"/>
        <w:rPr>
          <w:rFonts w:ascii="Times" w:hAnsi="Times"/>
          <w:sz w:val="28"/>
          <w:szCs w:val="28"/>
        </w:rPr>
      </w:pPr>
      <w:r>
        <w:rPr>
          <w:rFonts w:ascii="Times" w:hAnsi="Times"/>
          <w:sz w:val="28"/>
          <w:szCs w:val="28"/>
        </w:rPr>
        <w:lastRenderedPageBreak/>
        <w:t xml:space="preserve">Magnesium alloys can </w:t>
      </w:r>
      <w:r w:rsidR="00E40C49">
        <w:rPr>
          <w:rFonts w:ascii="Times" w:hAnsi="Times"/>
          <w:sz w:val="28"/>
          <w:szCs w:val="28"/>
        </w:rPr>
        <w:t xml:space="preserve">be </w:t>
      </w:r>
      <w:r>
        <w:rPr>
          <w:rFonts w:ascii="Times" w:hAnsi="Times"/>
          <w:sz w:val="28"/>
          <w:szCs w:val="28"/>
        </w:rPr>
        <w:t>easily welded. Welding temperatures are typically very high at the point of application of a gas jet or electric arc, yet the welded alloys do not ignite.</w:t>
      </w:r>
    </w:p>
    <w:p w14:paraId="12318B3A" w14:textId="77777777" w:rsidR="00DF4DB0" w:rsidRDefault="00990C43">
      <w:pPr>
        <w:pStyle w:val="FreeForm"/>
        <w:numPr>
          <w:ilvl w:val="0"/>
          <w:numId w:val="1"/>
        </w:numPr>
        <w:spacing w:after="213" w:line="260" w:lineRule="atLeast"/>
        <w:rPr>
          <w:rFonts w:ascii="Times" w:hAnsi="Times"/>
          <w:sz w:val="28"/>
          <w:szCs w:val="28"/>
        </w:rPr>
      </w:pPr>
      <w:r>
        <w:rPr>
          <w:rFonts w:ascii="Times" w:hAnsi="Times"/>
          <w:sz w:val="28"/>
          <w:szCs w:val="28"/>
        </w:rPr>
        <w:t xml:space="preserve">Magnesium alloys in mass industrial production are commonly rolled, extruded, forged, and heat-treated at elevated temperatures (over 400 ̊C or 752 ̊F). </w:t>
      </w:r>
    </w:p>
    <w:p w14:paraId="11B6EE0A" w14:textId="1CFA0428" w:rsidR="00DF4DB0" w:rsidRDefault="00990C43">
      <w:pPr>
        <w:pStyle w:val="FreeForm"/>
        <w:numPr>
          <w:ilvl w:val="0"/>
          <w:numId w:val="1"/>
        </w:numPr>
        <w:spacing w:after="213" w:line="260" w:lineRule="atLeast"/>
        <w:rPr>
          <w:rFonts w:ascii="Times" w:hAnsi="Times"/>
          <w:sz w:val="28"/>
          <w:szCs w:val="28"/>
        </w:rPr>
      </w:pPr>
      <w:r>
        <w:rPr>
          <w:rFonts w:ascii="Times" w:hAnsi="Times"/>
          <w:sz w:val="28"/>
          <w:szCs w:val="28"/>
        </w:rPr>
        <w:t xml:space="preserve">Magnesium alloys are widely used in jet engines, in the structures of military and civilian helicopters, and </w:t>
      </w:r>
      <w:r w:rsidR="00E40C49">
        <w:rPr>
          <w:rFonts w:ascii="Times" w:hAnsi="Times"/>
          <w:sz w:val="28"/>
          <w:szCs w:val="28"/>
        </w:rPr>
        <w:t xml:space="preserve">in </w:t>
      </w:r>
      <w:r>
        <w:rPr>
          <w:rFonts w:ascii="Times" w:hAnsi="Times"/>
          <w:sz w:val="28"/>
          <w:szCs w:val="28"/>
        </w:rPr>
        <w:t>hundreds of auto components</w:t>
      </w:r>
      <w:r w:rsidR="00E40C49">
        <w:rPr>
          <w:rFonts w:ascii="Times" w:hAnsi="Times"/>
          <w:sz w:val="28"/>
          <w:szCs w:val="28"/>
        </w:rPr>
        <w:t>, without flammability issues</w:t>
      </w:r>
      <w:r>
        <w:rPr>
          <w:rFonts w:ascii="Times" w:hAnsi="Times"/>
          <w:sz w:val="28"/>
          <w:szCs w:val="28"/>
        </w:rPr>
        <w:t>.</w:t>
      </w:r>
    </w:p>
    <w:p w14:paraId="08540E9A" w14:textId="77777777" w:rsidR="00E40C49" w:rsidRDefault="00990C43">
      <w:pPr>
        <w:pStyle w:val="FreeForm"/>
        <w:spacing w:after="240" w:line="260" w:lineRule="atLeast"/>
        <w:rPr>
          <w:rFonts w:ascii="Times" w:hAnsi="Times"/>
          <w:sz w:val="28"/>
          <w:szCs w:val="28"/>
        </w:rPr>
      </w:pPr>
      <w:r>
        <w:rPr>
          <w:rFonts w:ascii="Times" w:hAnsi="Times"/>
          <w:sz w:val="28"/>
          <w:szCs w:val="28"/>
        </w:rPr>
        <w:t xml:space="preserve">Fine grains of pure magnesium are highly combustible, but even so magnesium can be safely ground or cut if the right safety practices are applied, particularly to avoid the accumulation of potentially explosive dust. </w:t>
      </w:r>
    </w:p>
    <w:p w14:paraId="31D6B16D" w14:textId="74672D24" w:rsidR="00DF4DB0" w:rsidRDefault="00990C43">
      <w:pPr>
        <w:pStyle w:val="FreeForm"/>
        <w:spacing w:after="240" w:line="260" w:lineRule="atLeast"/>
        <w:rPr>
          <w:rFonts w:ascii="Times" w:eastAsia="Times" w:hAnsi="Times" w:cs="Times"/>
          <w:sz w:val="28"/>
          <w:szCs w:val="28"/>
        </w:rPr>
      </w:pPr>
      <w:r>
        <w:rPr>
          <w:rFonts w:ascii="Times" w:hAnsi="Times"/>
          <w:sz w:val="28"/>
          <w:szCs w:val="28"/>
        </w:rPr>
        <w:t xml:space="preserve">These cautions are similar to those that must be observed when working with </w:t>
      </w:r>
      <w:r w:rsidR="00E40C49">
        <w:rPr>
          <w:rFonts w:ascii="Times" w:hAnsi="Times"/>
          <w:sz w:val="28"/>
          <w:szCs w:val="28"/>
        </w:rPr>
        <w:t xml:space="preserve">other materials -- for example, </w:t>
      </w:r>
      <w:r>
        <w:rPr>
          <w:rFonts w:ascii="Times" w:hAnsi="Times"/>
          <w:sz w:val="28"/>
          <w:szCs w:val="28"/>
        </w:rPr>
        <w:t>accumulated dust from grinding aluminum or other fine powders such as flour or sugar.</w:t>
      </w:r>
    </w:p>
    <w:p w14:paraId="14617A7E" w14:textId="451EA929" w:rsidR="00DF4DB0" w:rsidRDefault="00990C43">
      <w:pPr>
        <w:pStyle w:val="FreeForm"/>
        <w:spacing w:after="240" w:line="260" w:lineRule="atLeast"/>
        <w:rPr>
          <w:rFonts w:ascii="Times" w:eastAsia="Times" w:hAnsi="Times" w:cs="Times"/>
          <w:sz w:val="28"/>
          <w:szCs w:val="28"/>
        </w:rPr>
      </w:pPr>
      <w:r>
        <w:rPr>
          <w:rFonts w:ascii="Times" w:hAnsi="Times"/>
          <w:sz w:val="28"/>
          <w:szCs w:val="28"/>
        </w:rPr>
        <w:t>__________________________________________________________________</w:t>
      </w:r>
      <w:r w:rsidR="00BF33E9">
        <w:rPr>
          <w:rFonts w:ascii="Times" w:hAnsi="Times"/>
          <w:sz w:val="28"/>
          <w:szCs w:val="28"/>
        </w:rPr>
        <w:t>________</w:t>
      </w:r>
    </w:p>
    <w:p w14:paraId="7AA4E9B8" w14:textId="77777777" w:rsidR="00DF4DB0" w:rsidRPr="005C070C" w:rsidRDefault="00990C43">
      <w:pPr>
        <w:pStyle w:val="FreeForm"/>
        <w:spacing w:after="240" w:line="260" w:lineRule="atLeast"/>
        <w:rPr>
          <w:rFonts w:ascii="Times" w:eastAsia="Times" w:hAnsi="Times" w:cs="Times"/>
          <w:i/>
          <w:iCs/>
          <w:sz w:val="28"/>
          <w:szCs w:val="28"/>
        </w:rPr>
      </w:pPr>
      <w:r w:rsidRPr="005C070C">
        <w:rPr>
          <w:rFonts w:ascii="Times" w:hAnsi="Times"/>
          <w:i/>
          <w:iCs/>
          <w:sz w:val="28"/>
          <w:szCs w:val="28"/>
        </w:rPr>
        <w:t>Adapted by Galaxy Trade and Technology from a brochure by the International Magnesium Association.</w:t>
      </w:r>
    </w:p>
    <w:p w14:paraId="23A72FA8" w14:textId="53A52C42" w:rsidR="00DF4DB0" w:rsidRPr="005C070C" w:rsidRDefault="00990C43">
      <w:pPr>
        <w:pStyle w:val="FreeForm"/>
        <w:spacing w:after="240" w:line="260" w:lineRule="atLeast"/>
        <w:rPr>
          <w:rFonts w:ascii="Times" w:eastAsia="Times" w:hAnsi="Times" w:cs="Times"/>
          <w:sz w:val="28"/>
          <w:szCs w:val="28"/>
        </w:rPr>
      </w:pPr>
      <w:r w:rsidRPr="005C070C">
        <w:rPr>
          <w:rFonts w:ascii="Times" w:hAnsi="Times"/>
          <w:sz w:val="28"/>
          <w:szCs w:val="28"/>
        </w:rPr>
        <w:t xml:space="preserve">The International Magnesium Association (IMA), and its members, is committed to best practices, state-of the art production processes, and the safest working environments within the production and use of magnesium. </w:t>
      </w:r>
      <w:r w:rsidR="00E40C49" w:rsidRPr="005C070C">
        <w:rPr>
          <w:rFonts w:ascii="Times" w:hAnsi="Times"/>
          <w:sz w:val="28"/>
          <w:szCs w:val="28"/>
        </w:rPr>
        <w:t>IMA</w:t>
      </w:r>
      <w:r w:rsidRPr="005C070C">
        <w:rPr>
          <w:rFonts w:ascii="Times" w:hAnsi="Times"/>
          <w:sz w:val="28"/>
          <w:szCs w:val="28"/>
        </w:rPr>
        <w:t xml:space="preserve"> place</w:t>
      </w:r>
      <w:r w:rsidR="00E40C49" w:rsidRPr="005C070C">
        <w:rPr>
          <w:rFonts w:ascii="Times" w:hAnsi="Times"/>
          <w:sz w:val="28"/>
          <w:szCs w:val="28"/>
        </w:rPr>
        <w:t>s</w:t>
      </w:r>
      <w:r w:rsidRPr="005C070C">
        <w:rPr>
          <w:rFonts w:ascii="Times" w:hAnsi="Times"/>
          <w:sz w:val="28"/>
          <w:szCs w:val="28"/>
        </w:rPr>
        <w:t xml:space="preserve"> a high level of importance on safety, fire prevention, and staying abreast of new developments within the industry. Regular safety initiatives, webinars, and fire drills are regularly facilitated and encouraged by the IMA. </w:t>
      </w:r>
    </w:p>
    <w:p w14:paraId="5FDC0497" w14:textId="6145F7A1" w:rsidR="00DF4DB0" w:rsidRPr="005C070C" w:rsidRDefault="00990C43">
      <w:pPr>
        <w:pStyle w:val="FreeForm"/>
        <w:spacing w:after="240" w:line="200" w:lineRule="atLeast"/>
        <w:rPr>
          <w:rFonts w:ascii="Times" w:eastAsia="Times" w:hAnsi="Times" w:cs="Times"/>
          <w:sz w:val="28"/>
          <w:szCs w:val="28"/>
        </w:rPr>
      </w:pPr>
      <w:r w:rsidRPr="005C070C">
        <w:rPr>
          <w:rFonts w:ascii="Times" w:hAnsi="Times"/>
          <w:sz w:val="28"/>
          <w:szCs w:val="28"/>
          <w:lang w:val="de-DE"/>
        </w:rPr>
        <w:t xml:space="preserve">© </w:t>
      </w:r>
      <w:proofErr w:type="spellStart"/>
      <w:r w:rsidR="005C070C">
        <w:rPr>
          <w:rFonts w:ascii="Times" w:hAnsi="Times"/>
          <w:sz w:val="28"/>
          <w:szCs w:val="28"/>
          <w:lang w:val="de-DE"/>
        </w:rPr>
        <w:t>Portions</w:t>
      </w:r>
      <w:proofErr w:type="spellEnd"/>
      <w:r w:rsidR="005C070C">
        <w:rPr>
          <w:rFonts w:ascii="Times" w:hAnsi="Times"/>
          <w:sz w:val="28"/>
          <w:szCs w:val="28"/>
          <w:lang w:val="de-DE"/>
        </w:rPr>
        <w:t xml:space="preserve"> </w:t>
      </w:r>
      <w:r w:rsidR="005C070C">
        <w:rPr>
          <w:rFonts w:ascii="Times" w:hAnsi="Times"/>
          <w:sz w:val="28"/>
          <w:szCs w:val="28"/>
        </w:rPr>
        <w:t>c</w:t>
      </w:r>
      <w:r w:rsidRPr="005C070C">
        <w:rPr>
          <w:rFonts w:ascii="Times" w:hAnsi="Times"/>
          <w:sz w:val="28"/>
          <w:szCs w:val="28"/>
        </w:rPr>
        <w:t>opyright</w:t>
      </w:r>
      <w:r w:rsidR="005C070C">
        <w:rPr>
          <w:rFonts w:ascii="Times" w:hAnsi="Times"/>
          <w:sz w:val="28"/>
          <w:szCs w:val="28"/>
        </w:rPr>
        <w:t>,</w:t>
      </w:r>
      <w:r w:rsidRPr="005C070C">
        <w:rPr>
          <w:rFonts w:ascii="Times" w:hAnsi="Times"/>
          <w:sz w:val="28"/>
          <w:szCs w:val="28"/>
        </w:rPr>
        <w:t xml:space="preserve"> International Magnesium Association 2018 </w:t>
      </w:r>
    </w:p>
    <w:p w14:paraId="16A8F66A" w14:textId="77777777" w:rsidR="00DF4DB0" w:rsidRPr="005C070C" w:rsidRDefault="005F4B3C">
      <w:pPr>
        <w:pStyle w:val="FreeForm"/>
        <w:spacing w:after="240" w:line="200" w:lineRule="atLeast"/>
        <w:rPr>
          <w:rFonts w:ascii="Times" w:eastAsia="Times" w:hAnsi="Times" w:cs="Times"/>
          <w:sz w:val="28"/>
          <w:szCs w:val="28"/>
        </w:rPr>
      </w:pPr>
      <w:hyperlink r:id="rId8" w:history="1">
        <w:r w:rsidR="00990C43" w:rsidRPr="005C070C">
          <w:rPr>
            <w:rStyle w:val="Hyperlink0"/>
            <w:rFonts w:ascii="Times" w:hAnsi="Times"/>
            <w:sz w:val="28"/>
            <w:szCs w:val="28"/>
          </w:rPr>
          <w:t>http://www.intlmag.org</w:t>
        </w:r>
      </w:hyperlink>
    </w:p>
    <w:p w14:paraId="6B020703" w14:textId="77777777" w:rsidR="00DF4DB0" w:rsidRDefault="00990C43">
      <w:pPr>
        <w:pStyle w:val="FreeForm"/>
        <w:spacing w:after="240" w:line="260" w:lineRule="atLeast"/>
        <w:rPr>
          <w:rFonts w:ascii="Times" w:eastAsia="Times" w:hAnsi="Times" w:cs="Times"/>
          <w:sz w:val="28"/>
          <w:szCs w:val="28"/>
        </w:rPr>
      </w:pPr>
      <w:r>
        <w:rPr>
          <w:rFonts w:ascii="Times" w:hAnsi="Times"/>
          <w:sz w:val="28"/>
          <w:szCs w:val="28"/>
        </w:rPr>
        <w:t>__________________________________________________________________</w:t>
      </w:r>
    </w:p>
    <w:p w14:paraId="47D3FB5F" w14:textId="77777777" w:rsidR="00DF4DB0" w:rsidRDefault="00990C43">
      <w:pPr>
        <w:pStyle w:val="FreeForm"/>
        <w:spacing w:after="240" w:line="200" w:lineRule="atLeast"/>
        <w:rPr>
          <w:rFonts w:ascii="Times" w:eastAsia="Times" w:hAnsi="Times" w:cs="Times"/>
          <w:b/>
          <w:bCs/>
          <w:sz w:val="28"/>
          <w:szCs w:val="28"/>
        </w:rPr>
      </w:pPr>
      <w:r>
        <w:rPr>
          <w:rFonts w:ascii="Times" w:hAnsi="Times"/>
          <w:b/>
          <w:bCs/>
          <w:sz w:val="28"/>
          <w:szCs w:val="28"/>
        </w:rPr>
        <w:t xml:space="preserve">Technical Reference: </w:t>
      </w:r>
    </w:p>
    <w:p w14:paraId="2A5F39F7" w14:textId="77777777" w:rsidR="00DF4DB0" w:rsidRDefault="00990C43">
      <w:pPr>
        <w:pStyle w:val="FreeForm"/>
        <w:spacing w:after="240" w:line="200" w:lineRule="atLeast"/>
        <w:rPr>
          <w:rStyle w:val="Hyperlink0"/>
          <w:rFonts w:ascii="Times" w:eastAsia="Times" w:hAnsi="Times" w:cs="Times"/>
          <w:sz w:val="28"/>
          <w:szCs w:val="28"/>
        </w:rPr>
      </w:pPr>
      <w:r>
        <w:rPr>
          <w:rFonts w:ascii="Times" w:hAnsi="Times"/>
          <w:sz w:val="28"/>
          <w:szCs w:val="28"/>
        </w:rPr>
        <w:t xml:space="preserve">The U.S. Federal Aviation Administration (FAA) issued a paper titled “Evaluating the Flammability of Various Magnesium Alloys During Laboratory- and Full-Scale Aircraft Fire Tests” -- Timothy R. Marker, National Technical Information Services (NTIS), Springfield, Virginia 22161 and the William J. Hughes Technical Center at </w:t>
      </w:r>
      <w:r>
        <w:rPr>
          <w:rStyle w:val="Hyperlink0"/>
        </w:rPr>
        <w:fldChar w:fldCharType="begin"/>
      </w:r>
      <w:r>
        <w:rPr>
          <w:rStyle w:val="Hyperlink0"/>
          <w:rFonts w:ascii="Times" w:eastAsia="Times" w:hAnsi="Times" w:cs="Times"/>
          <w:sz w:val="28"/>
          <w:szCs w:val="28"/>
        </w:rPr>
        <w:instrText xml:space="preserve"> HYPERLINK "http://actlibrary.tc.faa.gov"</w:instrText>
      </w:r>
      <w:r>
        <w:rPr>
          <w:rStyle w:val="Hyperlink0"/>
        </w:rPr>
        <w:fldChar w:fldCharType="separate"/>
      </w:r>
      <w:r>
        <w:rPr>
          <w:rStyle w:val="Hyperlink0"/>
          <w:rFonts w:ascii="Times" w:hAnsi="Times"/>
          <w:sz w:val="28"/>
          <w:szCs w:val="28"/>
        </w:rPr>
        <w:t>actlibrary.tc.faa.gov</w:t>
      </w:r>
    </w:p>
    <w:p w14:paraId="531D3E8C" w14:textId="13439AB1" w:rsidR="00BF33E9" w:rsidRDefault="00990C43">
      <w:pPr>
        <w:pStyle w:val="FreeForm"/>
        <w:spacing w:after="240" w:line="200" w:lineRule="atLeast"/>
        <w:rPr>
          <w:rFonts w:ascii="Times" w:hAnsi="Times"/>
          <w:sz w:val="28"/>
          <w:szCs w:val="28"/>
        </w:rPr>
      </w:pPr>
      <w:r>
        <w:rPr>
          <w:rFonts w:ascii="Times" w:eastAsia="Times" w:hAnsi="Times" w:cs="Times"/>
          <w:sz w:val="28"/>
          <w:szCs w:val="28"/>
        </w:rPr>
        <w:lastRenderedPageBreak/>
        <w:fldChar w:fldCharType="end"/>
      </w:r>
      <w:hyperlink r:id="rId9" w:history="1">
        <w:r w:rsidR="00BF33E9">
          <w:rPr>
            <w:rStyle w:val="Hyperlink"/>
            <w:rFonts w:ascii="Times" w:hAnsi="Times"/>
            <w:sz w:val="28"/>
            <w:szCs w:val="28"/>
          </w:rPr>
          <w:t>Full text of the above paper</w:t>
        </w:r>
      </w:hyperlink>
      <w:r>
        <w:rPr>
          <w:rFonts w:ascii="Times" w:hAnsi="Times"/>
          <w:sz w:val="28"/>
          <w:szCs w:val="28"/>
        </w:rPr>
        <w:t xml:space="preserve">. </w:t>
      </w:r>
    </w:p>
    <w:p w14:paraId="223F7307" w14:textId="41251A45" w:rsidR="00DF4DB0" w:rsidRDefault="00BF33E9">
      <w:pPr>
        <w:pStyle w:val="FreeForm"/>
        <w:spacing w:after="240" w:line="200" w:lineRule="atLeast"/>
        <w:rPr>
          <w:rFonts w:ascii="Times" w:eastAsia="Times" w:hAnsi="Times" w:cs="Times"/>
          <w:sz w:val="28"/>
          <w:szCs w:val="28"/>
        </w:rPr>
      </w:pPr>
      <w:r>
        <w:rPr>
          <w:rFonts w:ascii="Times" w:hAnsi="Times"/>
          <w:i/>
          <w:iCs/>
          <w:sz w:val="28"/>
          <w:szCs w:val="28"/>
        </w:rPr>
        <w:t>From the abstract:</w:t>
      </w:r>
      <w:r>
        <w:rPr>
          <w:rFonts w:ascii="Times" w:hAnsi="Times"/>
          <w:sz w:val="28"/>
          <w:szCs w:val="28"/>
        </w:rPr>
        <w:t xml:space="preserve"> “Full-scale tests simulating a survivable </w:t>
      </w:r>
      <w:proofErr w:type="spellStart"/>
      <w:r>
        <w:rPr>
          <w:rFonts w:ascii="Times" w:hAnsi="Times"/>
          <w:sz w:val="28"/>
          <w:szCs w:val="28"/>
        </w:rPr>
        <w:t>postcrash</w:t>
      </w:r>
      <w:proofErr w:type="spellEnd"/>
      <w:r>
        <w:rPr>
          <w:rFonts w:ascii="Times" w:hAnsi="Times"/>
          <w:sz w:val="28"/>
          <w:szCs w:val="28"/>
        </w:rPr>
        <w:t xml:space="preserve"> aircraft fire were conducted with a large external fuel fire to determine if an increased hazard resulted with seat frames constructed of magnesium alloy in the primary components. Follow-on tests using B/E 990 seats outfitted with components constructed from both a well-performing magnesium alloy and a poor-performing alloy were conducted to determine any increase in hazard resulting from the use of these materials in the seat frames. The tests indicated no additional hazard resulted for a majority of the test duration when using either of the magnesium alloys.”</w:t>
      </w:r>
    </w:p>
    <w:p w14:paraId="0416478B" w14:textId="4D52F80F" w:rsidR="00DF4DB0" w:rsidRDefault="00990C43">
      <w:pPr>
        <w:pStyle w:val="FreeForm"/>
        <w:spacing w:after="240" w:line="200" w:lineRule="atLeast"/>
        <w:rPr>
          <w:rFonts w:ascii="Times" w:hAnsi="Times"/>
          <w:sz w:val="28"/>
          <w:szCs w:val="28"/>
        </w:rPr>
      </w:pPr>
      <w:r>
        <w:rPr>
          <w:rFonts w:ascii="Times" w:hAnsi="Times"/>
          <w:i/>
          <w:iCs/>
          <w:sz w:val="28"/>
          <w:szCs w:val="28"/>
        </w:rPr>
        <w:t xml:space="preserve">Note from Galaxy: </w:t>
      </w:r>
      <w:r>
        <w:rPr>
          <w:rFonts w:ascii="Times" w:hAnsi="Times"/>
          <w:sz w:val="28"/>
          <w:szCs w:val="28"/>
        </w:rPr>
        <w:t xml:space="preserve">Not all magnesium alloys are suitable for aircraft use; in particular the common AZ-31 alloy was found by the FAA study to burn and be difficult to extinguish when subjected to continuous high heat in laboratory settings. This points up the necessity to apply precise magnesium alloy design and manufacturing techniques, </w:t>
      </w:r>
      <w:r w:rsidR="00E40C49">
        <w:rPr>
          <w:rFonts w:ascii="Times" w:hAnsi="Times"/>
          <w:sz w:val="28"/>
          <w:szCs w:val="28"/>
        </w:rPr>
        <w:t xml:space="preserve">an area in which Galaxy Trade and Technology specializes, </w:t>
      </w:r>
      <w:r>
        <w:rPr>
          <w:rFonts w:ascii="Times" w:hAnsi="Times"/>
          <w:sz w:val="28"/>
          <w:szCs w:val="28"/>
        </w:rPr>
        <w:t>when considering applications that require fire resistance.</w:t>
      </w:r>
    </w:p>
    <w:p w14:paraId="3951B571" w14:textId="6896859D" w:rsidR="00BF33E9" w:rsidRPr="00BF33E9" w:rsidRDefault="00BF33E9" w:rsidP="00BF33E9">
      <w:pPr>
        <w:rPr>
          <w:rFonts w:eastAsia="Times New Roman"/>
          <w:sz w:val="28"/>
          <w:szCs w:val="28"/>
          <w:bdr w:val="none" w:sz="0" w:space="0" w:color="auto"/>
          <w:lang w:eastAsia="zh-CN"/>
        </w:rPr>
      </w:pPr>
      <w:r>
        <w:rPr>
          <w:rFonts w:ascii="Times" w:hAnsi="Times"/>
          <w:sz w:val="28"/>
          <w:szCs w:val="28"/>
        </w:rPr>
        <w:t xml:space="preserve">Of further interest: </w:t>
      </w:r>
      <w:hyperlink r:id="rId10" w:history="1">
        <w:r w:rsidRPr="00BF33E9">
          <w:rPr>
            <w:rStyle w:val="Hyperlink"/>
            <w:rFonts w:ascii="Times" w:hAnsi="Times"/>
            <w:sz w:val="28"/>
            <w:szCs w:val="28"/>
          </w:rPr>
          <w:t>Magnesium Alloys in Aircraft Seat Construction</w:t>
        </w:r>
      </w:hyperlink>
      <w:bookmarkStart w:id="0" w:name="_GoBack"/>
      <w:bookmarkEnd w:id="0"/>
      <w:r>
        <w:rPr>
          <w:rFonts w:ascii="Times" w:hAnsi="Times"/>
          <w:sz w:val="28"/>
          <w:szCs w:val="28"/>
        </w:rPr>
        <w:t xml:space="preserve">, </w:t>
      </w:r>
      <w:r w:rsidRPr="00BF33E9">
        <w:rPr>
          <w:rFonts w:eastAsia="Times New Roman"/>
          <w:sz w:val="28"/>
          <w:szCs w:val="28"/>
          <w:bdr w:val="none" w:sz="0" w:space="0" w:color="auto"/>
          <w:lang w:eastAsia="zh-CN"/>
        </w:rPr>
        <w:t>Federal Aviation Administration William J. Hughes Technical Center, Airport and Aircraft Research and Development Division, Fire Safety Branch</w:t>
      </w:r>
    </w:p>
    <w:p w14:paraId="03033EEE" w14:textId="0EAA7969" w:rsidR="00BF33E9" w:rsidRDefault="00BF33E9">
      <w:pPr>
        <w:pStyle w:val="FreeForm"/>
        <w:spacing w:after="240" w:line="200" w:lineRule="atLeast"/>
        <w:rPr>
          <w:rFonts w:ascii="Times" w:hAnsi="Times"/>
          <w:sz w:val="28"/>
          <w:szCs w:val="28"/>
        </w:rPr>
      </w:pPr>
    </w:p>
    <w:p w14:paraId="56CFE791" w14:textId="7EE9108C" w:rsidR="00BF33E9" w:rsidRDefault="00BF33E9">
      <w:pPr>
        <w:pStyle w:val="FreeForm"/>
        <w:spacing w:after="240" w:line="200" w:lineRule="atLeast"/>
        <w:rPr>
          <w:rFonts w:ascii="Times" w:hAnsi="Times"/>
          <w:sz w:val="28"/>
          <w:szCs w:val="28"/>
        </w:rPr>
      </w:pPr>
      <w:r>
        <w:rPr>
          <w:rFonts w:ascii="Times" w:hAnsi="Times"/>
          <w:sz w:val="28"/>
          <w:szCs w:val="28"/>
        </w:rPr>
        <w:t xml:space="preserve">Thanks for </w:t>
      </w:r>
      <w:proofErr w:type="spellStart"/>
      <w:r>
        <w:rPr>
          <w:rFonts w:ascii="Times" w:hAnsi="Times"/>
          <w:sz w:val="28"/>
          <w:szCs w:val="28"/>
        </w:rPr>
        <w:t>Nes</w:t>
      </w:r>
      <w:proofErr w:type="spellEnd"/>
      <w:r>
        <w:rPr>
          <w:rFonts w:ascii="Times" w:hAnsi="Times"/>
          <w:sz w:val="28"/>
          <w:szCs w:val="28"/>
        </w:rPr>
        <w:t xml:space="preserve"> Abdulrahman of Mag</w:t>
      </w:r>
      <w:r w:rsidR="00C32E95">
        <w:rPr>
          <w:rFonts w:ascii="Times" w:hAnsi="Times"/>
          <w:sz w:val="28"/>
          <w:szCs w:val="28"/>
        </w:rPr>
        <w:t xml:space="preserve"> </w:t>
      </w:r>
      <w:r>
        <w:rPr>
          <w:rFonts w:ascii="Times" w:hAnsi="Times"/>
          <w:sz w:val="28"/>
          <w:szCs w:val="28"/>
        </w:rPr>
        <w:t>Specialties for assistance</w:t>
      </w:r>
      <w:r w:rsidR="00C32E95">
        <w:rPr>
          <w:rFonts w:ascii="Times" w:hAnsi="Times"/>
          <w:sz w:val="28"/>
          <w:szCs w:val="28"/>
        </w:rPr>
        <w:t xml:space="preserve"> in this research</w:t>
      </w:r>
      <w:r>
        <w:rPr>
          <w:rFonts w:ascii="Times" w:hAnsi="Times"/>
          <w:sz w:val="28"/>
          <w:szCs w:val="28"/>
        </w:rPr>
        <w:t>.</w:t>
      </w:r>
    </w:p>
    <w:p w14:paraId="2C1696B7" w14:textId="066E22C9" w:rsidR="0023338F" w:rsidRDefault="0023338F" w:rsidP="0023338F">
      <w:pPr>
        <w:pStyle w:val="FreeForm"/>
        <w:spacing w:after="240" w:line="200" w:lineRule="atLeast"/>
        <w:jc w:val="center"/>
      </w:pPr>
      <w:r w:rsidRPr="0023338F">
        <w:rPr>
          <w:noProof/>
        </w:rPr>
        <w:drawing>
          <wp:inline distT="0" distB="0" distL="0" distR="0" wp14:anchorId="4A393F27" wp14:editId="3994763F">
            <wp:extent cx="2217030" cy="2239200"/>
            <wp:effectExtent l="0" t="0" r="5715" b="0"/>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54717" cy="2277264"/>
                    </a:xfrm>
                    <a:prstGeom prst="rect">
                      <a:avLst/>
                    </a:prstGeom>
                  </pic:spPr>
                </pic:pic>
              </a:graphicData>
            </a:graphic>
          </wp:inline>
        </w:drawing>
      </w:r>
    </w:p>
    <w:sectPr w:rsidR="0023338F">
      <w:headerReference w:type="even" r:id="rId12"/>
      <w:headerReference w:type="default" r:id="rId13"/>
      <w:footerReference w:type="even" r:id="rId14"/>
      <w:footerReference w:type="default" r:id="rId15"/>
      <w:headerReference w:type="first" r:id="rId16"/>
      <w:footerReference w:type="first" r:id="rId17"/>
      <w:pgSz w:w="12240" w:h="15840"/>
      <w:pgMar w:top="1080" w:right="936" w:bottom="1080" w:left="936"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819475" w14:textId="77777777" w:rsidR="005F4B3C" w:rsidRDefault="005F4B3C">
      <w:r>
        <w:separator/>
      </w:r>
    </w:p>
  </w:endnote>
  <w:endnote w:type="continuationSeparator" w:id="0">
    <w:p w14:paraId="6951F3E8" w14:textId="77777777" w:rsidR="005F4B3C" w:rsidRDefault="005F4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Times">
    <w:panose1 w:val="00000000000000000000"/>
    <w:charset w:val="00"/>
    <w:family w:val="auto"/>
    <w:pitch w:val="variable"/>
    <w:sig w:usb0="00000003" w:usb1="00000000" w:usb2="00000000"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7476C" w14:textId="77777777" w:rsidR="00E40C49" w:rsidRDefault="00E40C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FB4FC" w14:textId="77777777" w:rsidR="00DF4DB0" w:rsidRDefault="00DF4DB0">
    <w:pPr>
      <w:pStyle w:val="Header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26EFB8" w14:textId="77777777" w:rsidR="00E40C49" w:rsidRDefault="00E40C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25C74C" w14:textId="77777777" w:rsidR="005F4B3C" w:rsidRDefault="005F4B3C">
      <w:r>
        <w:separator/>
      </w:r>
    </w:p>
  </w:footnote>
  <w:footnote w:type="continuationSeparator" w:id="0">
    <w:p w14:paraId="7C595BC5" w14:textId="77777777" w:rsidR="005F4B3C" w:rsidRDefault="005F4B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FF9FF" w14:textId="77777777" w:rsidR="00E40C49" w:rsidRDefault="00E40C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3DAD8" w14:textId="77777777" w:rsidR="00DF4DB0" w:rsidRDefault="00DF4DB0">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F641B" w14:textId="77777777" w:rsidR="00E40C49" w:rsidRDefault="00E40C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40A5812"/>
    <w:multiLevelType w:val="hybridMultilevel"/>
    <w:tmpl w:val="FD2E8650"/>
    <w:lvl w:ilvl="0" w:tplc="20BAC1C0">
      <w:start w:val="1"/>
      <w:numFmt w:val="bullet"/>
      <w:lvlText w:val="•"/>
      <w:lvlJc w:val="left"/>
      <w:pPr>
        <w:tabs>
          <w:tab w:val="left" w:pos="220"/>
        </w:tabs>
        <w:ind w:left="720" w:hanging="500"/>
      </w:pPr>
      <w:rPr>
        <w:rFonts w:hAnsi="Arial Unicode MS"/>
        <w:caps w:val="0"/>
        <w:smallCaps w:val="0"/>
        <w:strike w:val="0"/>
        <w:dstrike w:val="0"/>
        <w:outline w:val="0"/>
        <w:emboss w:val="0"/>
        <w:imprint w:val="0"/>
        <w:spacing w:val="0"/>
        <w:w w:val="100"/>
        <w:kern w:val="0"/>
        <w:position w:val="0"/>
        <w:highlight w:val="none"/>
        <w:vertAlign w:val="baseline"/>
      </w:rPr>
    </w:lvl>
    <w:lvl w:ilvl="1" w:tplc="708C4A8A">
      <w:start w:val="1"/>
      <w:numFmt w:val="bullet"/>
      <w:lvlText w:val="•"/>
      <w:lvlJc w:val="left"/>
      <w:pPr>
        <w:tabs>
          <w:tab w:val="left" w:pos="220"/>
          <w:tab w:val="left" w:pos="720"/>
        </w:tabs>
        <w:ind w:left="1220" w:hanging="500"/>
      </w:pPr>
      <w:rPr>
        <w:rFonts w:hAnsi="Arial Unicode MS"/>
        <w:caps w:val="0"/>
        <w:smallCaps w:val="0"/>
        <w:strike w:val="0"/>
        <w:dstrike w:val="0"/>
        <w:outline w:val="0"/>
        <w:emboss w:val="0"/>
        <w:imprint w:val="0"/>
        <w:spacing w:val="0"/>
        <w:w w:val="100"/>
        <w:kern w:val="0"/>
        <w:position w:val="0"/>
        <w:highlight w:val="none"/>
        <w:vertAlign w:val="baseline"/>
      </w:rPr>
    </w:lvl>
    <w:lvl w:ilvl="2" w:tplc="218E9438">
      <w:start w:val="1"/>
      <w:numFmt w:val="bullet"/>
      <w:lvlText w:val="•"/>
      <w:lvlJc w:val="left"/>
      <w:pPr>
        <w:tabs>
          <w:tab w:val="left" w:pos="220"/>
          <w:tab w:val="left" w:pos="720"/>
        </w:tabs>
        <w:ind w:left="1940" w:hanging="500"/>
      </w:pPr>
      <w:rPr>
        <w:rFonts w:hAnsi="Arial Unicode MS"/>
        <w:caps w:val="0"/>
        <w:smallCaps w:val="0"/>
        <w:strike w:val="0"/>
        <w:dstrike w:val="0"/>
        <w:outline w:val="0"/>
        <w:emboss w:val="0"/>
        <w:imprint w:val="0"/>
        <w:spacing w:val="0"/>
        <w:w w:val="100"/>
        <w:kern w:val="0"/>
        <w:position w:val="0"/>
        <w:highlight w:val="none"/>
        <w:vertAlign w:val="baseline"/>
      </w:rPr>
    </w:lvl>
    <w:lvl w:ilvl="3" w:tplc="A1E43786">
      <w:start w:val="1"/>
      <w:numFmt w:val="bullet"/>
      <w:lvlText w:val="•"/>
      <w:lvlJc w:val="left"/>
      <w:pPr>
        <w:tabs>
          <w:tab w:val="left" w:pos="220"/>
          <w:tab w:val="left" w:pos="720"/>
        </w:tabs>
        <w:ind w:left="2660" w:hanging="500"/>
      </w:pPr>
      <w:rPr>
        <w:rFonts w:hAnsi="Arial Unicode MS"/>
        <w:caps w:val="0"/>
        <w:smallCaps w:val="0"/>
        <w:strike w:val="0"/>
        <w:dstrike w:val="0"/>
        <w:outline w:val="0"/>
        <w:emboss w:val="0"/>
        <w:imprint w:val="0"/>
        <w:spacing w:val="0"/>
        <w:w w:val="100"/>
        <w:kern w:val="0"/>
        <w:position w:val="0"/>
        <w:highlight w:val="none"/>
        <w:vertAlign w:val="baseline"/>
      </w:rPr>
    </w:lvl>
    <w:lvl w:ilvl="4" w:tplc="85709058">
      <w:start w:val="1"/>
      <w:numFmt w:val="bullet"/>
      <w:lvlText w:val="•"/>
      <w:lvlJc w:val="left"/>
      <w:pPr>
        <w:tabs>
          <w:tab w:val="left" w:pos="220"/>
          <w:tab w:val="left" w:pos="720"/>
        </w:tabs>
        <w:ind w:left="3380" w:hanging="500"/>
      </w:pPr>
      <w:rPr>
        <w:rFonts w:hAnsi="Arial Unicode MS"/>
        <w:caps w:val="0"/>
        <w:smallCaps w:val="0"/>
        <w:strike w:val="0"/>
        <w:dstrike w:val="0"/>
        <w:outline w:val="0"/>
        <w:emboss w:val="0"/>
        <w:imprint w:val="0"/>
        <w:spacing w:val="0"/>
        <w:w w:val="100"/>
        <w:kern w:val="0"/>
        <w:position w:val="0"/>
        <w:highlight w:val="none"/>
        <w:vertAlign w:val="baseline"/>
      </w:rPr>
    </w:lvl>
    <w:lvl w:ilvl="5" w:tplc="16064E72">
      <w:start w:val="1"/>
      <w:numFmt w:val="bullet"/>
      <w:lvlText w:val="•"/>
      <w:lvlJc w:val="left"/>
      <w:pPr>
        <w:tabs>
          <w:tab w:val="left" w:pos="220"/>
          <w:tab w:val="left" w:pos="720"/>
        </w:tabs>
        <w:ind w:left="4100" w:hanging="500"/>
      </w:pPr>
      <w:rPr>
        <w:rFonts w:hAnsi="Arial Unicode MS"/>
        <w:caps w:val="0"/>
        <w:smallCaps w:val="0"/>
        <w:strike w:val="0"/>
        <w:dstrike w:val="0"/>
        <w:outline w:val="0"/>
        <w:emboss w:val="0"/>
        <w:imprint w:val="0"/>
        <w:spacing w:val="0"/>
        <w:w w:val="100"/>
        <w:kern w:val="0"/>
        <w:position w:val="0"/>
        <w:highlight w:val="none"/>
        <w:vertAlign w:val="baseline"/>
      </w:rPr>
    </w:lvl>
    <w:lvl w:ilvl="6" w:tplc="EF5E805A">
      <w:start w:val="1"/>
      <w:numFmt w:val="bullet"/>
      <w:lvlText w:val="•"/>
      <w:lvlJc w:val="left"/>
      <w:pPr>
        <w:tabs>
          <w:tab w:val="left" w:pos="220"/>
          <w:tab w:val="left" w:pos="720"/>
        </w:tabs>
        <w:ind w:left="4820" w:hanging="500"/>
      </w:pPr>
      <w:rPr>
        <w:rFonts w:hAnsi="Arial Unicode MS"/>
        <w:caps w:val="0"/>
        <w:smallCaps w:val="0"/>
        <w:strike w:val="0"/>
        <w:dstrike w:val="0"/>
        <w:outline w:val="0"/>
        <w:emboss w:val="0"/>
        <w:imprint w:val="0"/>
        <w:spacing w:val="0"/>
        <w:w w:val="100"/>
        <w:kern w:val="0"/>
        <w:position w:val="0"/>
        <w:highlight w:val="none"/>
        <w:vertAlign w:val="baseline"/>
      </w:rPr>
    </w:lvl>
    <w:lvl w:ilvl="7" w:tplc="76B225AA">
      <w:start w:val="1"/>
      <w:numFmt w:val="bullet"/>
      <w:lvlText w:val="•"/>
      <w:lvlJc w:val="left"/>
      <w:pPr>
        <w:tabs>
          <w:tab w:val="left" w:pos="220"/>
          <w:tab w:val="left" w:pos="720"/>
        </w:tabs>
        <w:ind w:left="5540" w:hanging="500"/>
      </w:pPr>
      <w:rPr>
        <w:rFonts w:hAnsi="Arial Unicode MS"/>
        <w:caps w:val="0"/>
        <w:smallCaps w:val="0"/>
        <w:strike w:val="0"/>
        <w:dstrike w:val="0"/>
        <w:outline w:val="0"/>
        <w:emboss w:val="0"/>
        <w:imprint w:val="0"/>
        <w:spacing w:val="0"/>
        <w:w w:val="100"/>
        <w:kern w:val="0"/>
        <w:position w:val="0"/>
        <w:highlight w:val="none"/>
        <w:vertAlign w:val="baseline"/>
      </w:rPr>
    </w:lvl>
    <w:lvl w:ilvl="8" w:tplc="3190EE4A">
      <w:start w:val="1"/>
      <w:numFmt w:val="bullet"/>
      <w:lvlText w:val="•"/>
      <w:lvlJc w:val="left"/>
      <w:pPr>
        <w:tabs>
          <w:tab w:val="left" w:pos="220"/>
          <w:tab w:val="left" w:pos="720"/>
        </w:tabs>
        <w:ind w:left="6260" w:hanging="50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77"/>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DB0"/>
    <w:rsid w:val="0023338F"/>
    <w:rsid w:val="00375534"/>
    <w:rsid w:val="005C070C"/>
    <w:rsid w:val="005F4B3C"/>
    <w:rsid w:val="00617CCB"/>
    <w:rsid w:val="006E4347"/>
    <w:rsid w:val="00941134"/>
    <w:rsid w:val="00990C43"/>
    <w:rsid w:val="00BF33E9"/>
    <w:rsid w:val="00BF4928"/>
    <w:rsid w:val="00C32E95"/>
    <w:rsid w:val="00C3621A"/>
    <w:rsid w:val="00DF4DB0"/>
    <w:rsid w:val="00E40C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A298D0"/>
  <w15:docId w15:val="{6066B019-A703-074F-BCDD-8346D871A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360"/>
      </w:tabs>
    </w:pPr>
    <w:rPr>
      <w:rFonts w:ascii="Helvetica" w:hAnsi="Helvetica" w:cs="Arial Unicode MS"/>
      <w:color w:val="000000"/>
    </w:rPr>
  </w:style>
  <w:style w:type="paragraph" w:customStyle="1" w:styleId="FreeForm">
    <w:name w:val="Free Form"/>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11EA9"/>
      <w:u w:val="single"/>
    </w:rPr>
  </w:style>
  <w:style w:type="paragraph" w:styleId="Header">
    <w:name w:val="header"/>
    <w:basedOn w:val="Normal"/>
    <w:link w:val="HeaderChar"/>
    <w:uiPriority w:val="99"/>
    <w:unhideWhenUsed/>
    <w:rsid w:val="00E40C49"/>
    <w:pPr>
      <w:tabs>
        <w:tab w:val="center" w:pos="4680"/>
        <w:tab w:val="right" w:pos="9360"/>
      </w:tabs>
    </w:pPr>
  </w:style>
  <w:style w:type="character" w:customStyle="1" w:styleId="HeaderChar">
    <w:name w:val="Header Char"/>
    <w:basedOn w:val="DefaultParagraphFont"/>
    <w:link w:val="Header"/>
    <w:uiPriority w:val="99"/>
    <w:rsid w:val="00E40C49"/>
    <w:rPr>
      <w:sz w:val="24"/>
      <w:szCs w:val="24"/>
      <w:lang w:eastAsia="en-US"/>
    </w:rPr>
  </w:style>
  <w:style w:type="paragraph" w:styleId="Footer">
    <w:name w:val="footer"/>
    <w:basedOn w:val="Normal"/>
    <w:link w:val="FooterChar"/>
    <w:uiPriority w:val="99"/>
    <w:unhideWhenUsed/>
    <w:rsid w:val="00E40C49"/>
    <w:pPr>
      <w:tabs>
        <w:tab w:val="center" w:pos="4680"/>
        <w:tab w:val="right" w:pos="9360"/>
      </w:tabs>
    </w:pPr>
  </w:style>
  <w:style w:type="character" w:customStyle="1" w:styleId="FooterChar">
    <w:name w:val="Footer Char"/>
    <w:basedOn w:val="DefaultParagraphFont"/>
    <w:link w:val="Footer"/>
    <w:uiPriority w:val="99"/>
    <w:rsid w:val="00E40C49"/>
    <w:rPr>
      <w:sz w:val="24"/>
      <w:szCs w:val="24"/>
      <w:lang w:eastAsia="en-US"/>
    </w:rPr>
  </w:style>
  <w:style w:type="character" w:styleId="UnresolvedMention">
    <w:name w:val="Unresolved Mention"/>
    <w:basedOn w:val="DefaultParagraphFont"/>
    <w:uiPriority w:val="99"/>
    <w:semiHidden/>
    <w:unhideWhenUsed/>
    <w:rsid w:val="00375534"/>
    <w:rPr>
      <w:color w:val="605E5C"/>
      <w:shd w:val="clear" w:color="auto" w:fill="E1DFDD"/>
    </w:rPr>
  </w:style>
  <w:style w:type="character" w:styleId="FollowedHyperlink">
    <w:name w:val="FollowedHyperlink"/>
    <w:basedOn w:val="DefaultParagraphFont"/>
    <w:uiPriority w:val="99"/>
    <w:semiHidden/>
    <w:unhideWhenUsed/>
    <w:rsid w:val="00C3621A"/>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03055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intlmag.org"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galaxytradetechnology.com/wp-content/uploads/2020/11/FAA-Report-Magnesium-Flammability.pdf"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galaxytradetechnology.com/wp-content/uploads/2020/11/FAA-Report-Magnesium-Flammability.pdf" TargetMode="External"/><Relationship Id="rId14"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TotalTime>
  <Pages>3</Pages>
  <Words>773</Words>
  <Characters>4408</Characters>
  <Application>Microsoft Office Word</Application>
  <DocSecurity>0</DocSecurity>
  <Lines>36</Lines>
  <Paragraphs>10</Paragraphs>
  <ScaleCrop>false</ScaleCrop>
  <Company/>
  <LinksUpToDate>false</LinksUpToDate>
  <CharactersWithSpaces>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North</cp:lastModifiedBy>
  <cp:revision>10</cp:revision>
  <dcterms:created xsi:type="dcterms:W3CDTF">2020-08-12T17:03:00Z</dcterms:created>
  <dcterms:modified xsi:type="dcterms:W3CDTF">2020-11-23T14:52:00Z</dcterms:modified>
</cp:coreProperties>
</file>